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6"/>
        <w:tblW w:w="14318" w:type="dxa"/>
        <w:tblLook w:val="04A0" w:firstRow="1" w:lastRow="0" w:firstColumn="1" w:lastColumn="0" w:noHBand="0" w:noVBand="1"/>
      </w:tblPr>
      <w:tblGrid>
        <w:gridCol w:w="4016"/>
        <w:gridCol w:w="10303"/>
      </w:tblGrid>
      <w:tr>
        <w:trPr>
          <w:trHeight w:val="333"/>
        </w:trPr>
        <w:tc>
          <w:tcPr>
            <w:gridSpan w:val="2"/>
            <w:tcW w:w="14318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Conception et pilotage d’un enseignement inclusif - </w:t>
            </w:r>
            <w:r>
              <w:rPr>
                <w:b/>
              </w:rPr>
              <w:t xml:space="preserve">Capacité à évaluer les apprentissages des élèves</w:t>
            </w:r>
            <w:r/>
          </w:p>
        </w:tc>
      </w:tr>
      <w:tr>
        <w:trPr>
          <w:trHeight w:val="333"/>
        </w:trPr>
        <w:tc>
          <w:tcPr>
            <w:tcW w:w="4016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EVALUATION</w:t>
            </w:r>
            <w:r/>
          </w:p>
        </w:tc>
        <w:tc>
          <w:tcPr>
            <w:tcW w:w="10303" w:type="dxa"/>
            <w:textDirection w:val="lrTb"/>
            <w:noWrap w:val="false"/>
          </w:tcPr>
          <w:p>
            <w:r>
              <w:t xml:space="preserve">Observables en situation de classe</w:t>
            </w:r>
            <w:r/>
          </w:p>
        </w:tc>
      </w:tr>
      <w:tr>
        <w:trPr>
          <w:trHeight w:val="4629"/>
        </w:trPr>
        <w:tc>
          <w:tcPr>
            <w:tcW w:w="4016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1F4E79"/>
                <w:szCs w:val="18"/>
              </w:rPr>
            </w:pPr>
            <w:r>
              <w:rPr>
                <w:rFonts w:ascii="Calibri Light" w:hAnsi="Calibri Light" w:cs="Calibri Light"/>
                <w:b/>
                <w:color w:val="1F4E79" w:themeColor="accent1" w:themeShade="80"/>
                <w:szCs w:val="18"/>
              </w:rPr>
              <w:t xml:space="preserve">1. </w:t>
            </w:r>
            <w:r>
              <w:rPr>
                <w:rFonts w:ascii="Calibri Light" w:hAnsi="Calibri Light" w:cs="Calibri Light"/>
                <w:b/>
                <w:color w:val="1F4E79" w:themeColor="accent1" w:themeShade="80"/>
                <w:szCs w:val="18"/>
              </w:rPr>
              <w:t xml:space="preserve">Mobilise les ressources professionnelles</w:t>
            </w:r>
            <w:r>
              <w:rPr>
                <w:rFonts w:ascii="Calibri Light" w:hAnsi="Calibri Light" w:cs="Calibri Light"/>
                <w:color w:val="1F4E79" w:themeColor="accent1" w:themeShade="80"/>
                <w:szCs w:val="18"/>
              </w:rPr>
              <w:t xml:space="preserve"> (acquis de la recherche, références institutionnelles, orientations didactiques et pédagogiques) sur le développement de l’adolescent et la construction de ses apprentissages pour étayer son action.</w:t>
            </w:r>
            <w:r/>
          </w:p>
        </w:tc>
        <w:tc>
          <w:tcPr>
            <w:tcW w:w="10303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4638"/>
        </w:trPr>
        <w:tc>
          <w:tcPr>
            <w:tcW w:w="4016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1F4E79"/>
                <w:szCs w:val="18"/>
              </w:rPr>
            </w:pPr>
            <w:r>
              <w:rPr>
                <w:rFonts w:ascii="Calibri Light" w:hAnsi="Calibri Light" w:cs="Calibri Light"/>
                <w:color w:val="1F4E79" w:themeColor="accent1" w:themeShade="80"/>
                <w:szCs w:val="18"/>
              </w:rPr>
              <w:t xml:space="preserve">7. </w:t>
            </w:r>
            <w:r>
              <w:rPr>
                <w:rFonts w:ascii="Calibri Light" w:hAnsi="Calibri Light" w:cs="Calibri Light"/>
                <w:color w:val="1F4E79" w:themeColor="accent1" w:themeShade="80"/>
                <w:szCs w:val="18"/>
              </w:rPr>
              <w:t xml:space="preserve">Sait utiliser les évaluations nationales ; </w:t>
            </w:r>
            <w:r>
              <w:rPr>
                <w:rFonts w:ascii="Calibri Light" w:hAnsi="Calibri Light" w:cs="Calibri Light"/>
                <w:b/>
                <w:bCs/>
                <w:color w:val="1F4E79" w:themeColor="accent1" w:themeShade="80"/>
                <w:szCs w:val="18"/>
              </w:rPr>
              <w:t xml:space="preserve">Pratique différents types d’évaluation</w:t>
            </w:r>
            <w:r>
              <w:rPr>
                <w:rFonts w:ascii="Calibri Light" w:hAnsi="Calibri Light" w:cs="Calibri Light"/>
                <w:color w:val="1F4E79" w:themeColor="accent1" w:themeShade="80"/>
                <w:szCs w:val="18"/>
              </w:rPr>
              <w:t xml:space="preserve">, dont l’observation et l’auto-évaluation, pour :</w:t>
            </w:r>
            <w:r/>
          </w:p>
          <w:p>
            <w:pPr>
              <w:widowControl w:val="off"/>
              <w:rPr>
                <w:rFonts w:ascii="Calibri Light" w:hAnsi="Calibri Light" w:cs="Calibri Light"/>
                <w:color w:val="1F4E79"/>
                <w:szCs w:val="18"/>
              </w:rPr>
            </w:pPr>
            <w:r>
              <w:rPr>
                <w:rFonts w:ascii="Calibri Light" w:hAnsi="Calibri Light" w:cs="Calibri Light"/>
                <w:color w:val="1F4E79" w:themeColor="accent1" w:themeShade="80"/>
                <w:szCs w:val="18"/>
              </w:rPr>
              <w:t xml:space="preserve"> ⋅ mesurer les acquis des élèves (résultats, processus)</w:t>
            </w:r>
            <w:r/>
          </w:p>
          <w:p>
            <w:pPr>
              <w:widowControl w:val="off"/>
              <w:rPr>
                <w:rFonts w:ascii="Calibri Light" w:hAnsi="Calibri Light" w:cs="Calibri Light"/>
                <w:color w:val="1F4E79"/>
                <w:szCs w:val="18"/>
              </w:rPr>
            </w:pPr>
            <w:r>
              <w:rPr>
                <w:rFonts w:ascii="Calibri Light" w:hAnsi="Calibri Light" w:cs="Calibri Light"/>
                <w:color w:val="1F4E79" w:themeColor="accent1" w:themeShade="80"/>
                <w:szCs w:val="18"/>
              </w:rPr>
              <w:t xml:space="preserve"> ⋅ déterminer les actions d’accompagnement, de différenciation ou de remédiation répondant aux besoins identifiés</w:t>
            </w:r>
            <w:r/>
          </w:p>
          <w:p>
            <w:pPr>
              <w:widowControl w:val="off"/>
              <w:rPr>
                <w:rFonts w:ascii="Calibri Light" w:hAnsi="Calibri Light" w:cs="Calibri Light"/>
                <w:color w:val="1F4E79"/>
                <w:szCs w:val="18"/>
              </w:rPr>
            </w:pPr>
            <w:r>
              <w:rPr>
                <w:rFonts w:ascii="Calibri Light" w:hAnsi="Calibri Light" w:cs="Calibri Light"/>
                <w:color w:val="1F4E79" w:themeColor="accent1" w:themeShade="80"/>
                <w:szCs w:val="18"/>
              </w:rPr>
              <w:t xml:space="preserve"> ⋅ analyser ses pratiques pour les différencier et les adapter</w:t>
            </w:r>
            <w:r/>
          </w:p>
        </w:tc>
        <w:tc>
          <w:tcPr>
            <w:tcW w:w="10303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bookmarkStart w:id="0" w:name="_GoBack"/>
            <w:r/>
            <w:bookmarkEnd w:id="0"/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7">
    <w:name w:val="List Paragraph"/>
    <w:basedOn w:val="81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Baleine</dc:creator>
  <cp:keywords/>
  <dc:description/>
  <cp:lastModifiedBy>Rozenn NEDELEC (rozenn.nedelec@inspe-bretagne.fr)</cp:lastModifiedBy>
  <cp:revision>5</cp:revision>
  <dcterms:created xsi:type="dcterms:W3CDTF">2022-10-07T16:01:00Z</dcterms:created>
  <dcterms:modified xsi:type="dcterms:W3CDTF">2022-10-27T10:24:17Z</dcterms:modified>
</cp:coreProperties>
</file>