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2"/>
        <w:tblW w:w="10768" w:type="dxa"/>
        <w:tblLook w:val="04A0" w:firstRow="1" w:lastRow="0" w:firstColumn="1" w:lastColumn="0" w:noHBand="0" w:noVBand="1"/>
      </w:tblPr>
      <w:tblGrid>
        <w:gridCol w:w="3020"/>
        <w:gridCol w:w="7748"/>
      </w:tblGrid>
      <w:tr>
        <w:trPr/>
        <w:tc>
          <w:tcPr>
            <w:gridSpan w:val="2"/>
            <w:tcW w:w="10768" w:type="dxa"/>
            <w:textDirection w:val="lrTb"/>
            <w:noWrap w:val="false"/>
          </w:tcPr>
          <w:p>
            <w:r>
              <w:rPr>
                <w:b/>
                <w:bCs/>
              </w:rPr>
              <w:t xml:space="preserve">Le professeur, acteur de la communauté éducative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</w:rPr>
              <w:t xml:space="preserve">Capacité à s’inscrire dans une démarche collective</w:t>
            </w:r>
            <w:r/>
          </w:p>
        </w:tc>
      </w:tr>
      <w:tr>
        <w:trPr/>
        <w:tc>
          <w:tcPr>
            <w:tcW w:w="3020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Attendu</w:t>
            </w:r>
            <w:r/>
          </w:p>
        </w:tc>
        <w:tc>
          <w:tcPr>
            <w:tcW w:w="7748" w:type="dxa"/>
            <w:textDirection w:val="lrTb"/>
            <w:noWrap w:val="false"/>
          </w:tcPr>
          <w:p>
            <w:r>
              <w:t xml:space="preserve">Observables en situation de classe</w:t>
            </w:r>
            <w:r/>
          </w:p>
        </w:tc>
      </w:tr>
      <w:tr>
        <w:trPr/>
        <w:tc>
          <w:tcPr>
            <w:tcW w:w="3020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385623"/>
                <w:szCs w:val="18"/>
              </w:rPr>
            </w:pPr>
            <w:r>
              <w:rPr>
                <w:rFonts w:ascii="Calibri Light" w:hAnsi="Calibri Light" w:cs="Calibri Light"/>
                <w:color w:val="385623" w:themeColor="accent6" w:themeShade="80"/>
                <w:szCs w:val="18"/>
              </w:rPr>
              <w:t xml:space="preserve">13. </w:t>
            </w:r>
            <w:r>
              <w:rPr>
                <w:rFonts w:ascii="Calibri Light" w:hAnsi="Calibri Light" w:cs="Calibri Light"/>
                <w:b/>
                <w:color w:val="385623" w:themeColor="accent6" w:themeShade="80"/>
                <w:sz w:val="18"/>
                <w:szCs w:val="18"/>
              </w:rPr>
              <w:t xml:space="preserve">Communique</w:t>
            </w:r>
            <w:r>
              <w:rPr>
                <w:rFonts w:ascii="Calibri Light" w:hAnsi="Calibri Light" w:cs="Calibri Light"/>
                <w:color w:val="385623" w:themeColor="accent6" w:themeShade="80"/>
                <w:sz w:val="18"/>
                <w:szCs w:val="18"/>
              </w:rPr>
              <w:t xml:space="preserve"> de manière correcte, claire et adaptée avec son (ses) interlocuteur(s)</w:t>
            </w:r>
            <w:r/>
          </w:p>
        </w:tc>
        <w:tc>
          <w:tcPr>
            <w:tcW w:w="7748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tcW w:w="3020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385623"/>
                <w:szCs w:val="18"/>
              </w:rPr>
            </w:pPr>
            <w:r>
              <w:rPr>
                <w:rFonts w:ascii="Calibri Light" w:hAnsi="Calibri Light" w:cs="Calibri Light"/>
                <w:color w:val="385623" w:themeColor="accent6" w:themeShade="80"/>
                <w:szCs w:val="18"/>
              </w:rPr>
              <w:t xml:space="preserve">14. </w:t>
            </w:r>
            <w:r>
              <w:rPr>
                <w:rFonts w:ascii="Calibri Light" w:hAnsi="Calibri Light" w:cs="Calibri Light"/>
                <w:b/>
                <w:color w:val="385623" w:themeColor="accent6" w:themeShade="80"/>
                <w:sz w:val="18"/>
                <w:szCs w:val="18"/>
              </w:rPr>
              <w:t xml:space="preserve">Adopte</w:t>
            </w:r>
            <w:r>
              <w:rPr>
                <w:rFonts w:ascii="Calibri Light" w:hAnsi="Calibri Light" w:cs="Calibri Light"/>
                <w:color w:val="385623" w:themeColor="accent6" w:themeShade="80"/>
                <w:sz w:val="18"/>
                <w:szCs w:val="18"/>
              </w:rPr>
              <w:t xml:space="preserve"> une attitude favorable à l’écoute et aux échanges avec son (ses) interlocuteur(s)</w:t>
            </w:r>
            <w:r/>
          </w:p>
        </w:tc>
        <w:tc>
          <w:tcPr>
            <w:tcW w:w="7748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tcW w:w="3020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385623"/>
                <w:szCs w:val="18"/>
              </w:rPr>
            </w:pPr>
            <w:r>
              <w:rPr>
                <w:rFonts w:ascii="Calibri Light" w:hAnsi="Calibri Light" w:cs="Calibri Light"/>
                <w:color w:val="385623" w:themeColor="accent6" w:themeShade="80"/>
                <w:szCs w:val="18"/>
              </w:rPr>
              <w:t xml:space="preserve">15. </w:t>
            </w:r>
            <w:r>
              <w:rPr>
                <w:rFonts w:ascii="Calibri Light" w:hAnsi="Calibri Light" w:cs="Calibri Light"/>
                <w:b/>
                <w:color w:val="385623" w:themeColor="accent6" w:themeShade="80"/>
                <w:sz w:val="18"/>
                <w:szCs w:val="18"/>
              </w:rPr>
              <w:t xml:space="preserve">Participe</w:t>
            </w:r>
            <w:r>
              <w:rPr>
                <w:rFonts w:ascii="Calibri Light" w:hAnsi="Calibri Light" w:cs="Calibri Light"/>
                <w:color w:val="385623" w:themeColor="accent6" w:themeShade="80"/>
                <w:sz w:val="18"/>
                <w:szCs w:val="18"/>
              </w:rPr>
              <w:t xml:space="preserve"> à la réflexion et au travail collectif mis en place dans son établissement</w:t>
            </w:r>
            <w:r/>
          </w:p>
        </w:tc>
        <w:tc>
          <w:tcPr>
            <w:tcW w:w="7748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/>
        <w:tc>
          <w:tcPr>
            <w:tcW w:w="3020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385623"/>
                <w:szCs w:val="18"/>
              </w:rPr>
            </w:pPr>
            <w:r>
              <w:rPr>
                <w:rFonts w:ascii="Calibri Light" w:hAnsi="Calibri Light" w:cs="Calibri Light"/>
                <w:color w:val="385623" w:themeColor="accent6" w:themeShade="80"/>
                <w:szCs w:val="18"/>
              </w:rPr>
              <w:t xml:space="preserve">16. </w:t>
            </w:r>
            <w:r>
              <w:rPr>
                <w:rFonts w:ascii="Calibri Light" w:hAnsi="Calibri Light" w:cs="Calibri Light"/>
                <w:b/>
                <w:color w:val="385623" w:themeColor="accent6" w:themeShade="80"/>
                <w:sz w:val="18"/>
                <w:szCs w:val="18"/>
              </w:rPr>
              <w:t xml:space="preserve">Sait</w:t>
            </w:r>
            <w:r>
              <w:rPr>
                <w:rFonts w:ascii="Calibri Light" w:hAnsi="Calibri Light" w:cs="Calibri Light"/>
                <w:color w:val="385623" w:themeColor="accent6" w:themeShade="80"/>
                <w:sz w:val="18"/>
                <w:szCs w:val="18"/>
              </w:rPr>
              <w:t xml:space="preserve"> rendre compte de son travail</w:t>
            </w:r>
            <w:r/>
          </w:p>
        </w:tc>
        <w:tc>
          <w:tcPr>
            <w:tcW w:w="7748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Baleine</dc:creator>
  <cp:keywords/>
  <dc:description/>
  <cp:lastModifiedBy>Rozenn NEDELEC (rozenn.nedelec@inspe-bretagne.fr)</cp:lastModifiedBy>
  <cp:revision>3</cp:revision>
  <dcterms:created xsi:type="dcterms:W3CDTF">2022-10-07T16:16:00Z</dcterms:created>
  <dcterms:modified xsi:type="dcterms:W3CDTF">2022-10-27T10:26:52Z</dcterms:modified>
</cp:coreProperties>
</file>